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500万双光对讲筒型网络摄像机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型号：JVS-C-BV18H5D-VL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46450" cy="267716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1.最大分辨率可达 2560*1792@25fps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2.支持数字 3D 降噪，智能去雾，数字宽动态，夜视降帧，适应不同监控环境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3.1 个内置麦克风，1 个内置扬声器，支持双向语音对讲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4.支持暖光/红外双补光，内置6颗红外灯和12颗暖光灯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5.支持车牌模式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6.支持人形检测，默认智能双光模式，人来灯亮人走灯灭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7.IP67 防水防尘设计，抗干扰能力强</w:t>
      </w: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规格/型号：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JVS-C-BV18H5D-VL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图像传感器：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1/3″CMOS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视频分辨率：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最大主码流2560*1792、默认次码流704*576、最大次码流720*576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有效像素：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500万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视频压缩标准：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H.264/H.265（默认）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视频帧率：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25帧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视频码率：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主码流：317Kbps~8Mbps可调节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次码流：68Kbps~2728Kbps可调节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同步方式：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内同步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信噪比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52dB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最低照度：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0lux(IR ON)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接口类型：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M12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镜头搭配：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4mm、6mm、8mm可选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镜头可视角度：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4mm：水平：80.0°垂直：41.1°对角线：94.6°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6mm：水平：49.7°垂直：26.6°对角线：57.3°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8mm：水平：38.6°垂直：21.8°对角线：43.6°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音频编码：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G711U/G711A（默认）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曝光控制：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自动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增益控制：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自动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白平衡：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自动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数字3D降噪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OSD信息设置：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支持OSD大字体、OSD报警时闪烁、OSD与时间分开设置位置的功能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高级OSD：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最多支持5行，每行字符32个，1个中文算作2个字符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网络对时：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定时重启：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重启设备：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恢复系统：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智能去雾：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隐私遮挡：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同时支持 8个遮挡区域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移动侦测：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支持人形检测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视频调节：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支持对比度、亮度、饱和度、锐度调节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图像风格：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支持标准、柔和、通透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日夜功能：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自动、一直黑白、一直彩色、定时彩色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夜视降帧：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数字宽动态：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画面设置：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画面镜像、画面翻转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走廊模式：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不支持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IP自适应：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支持自动适应IP地址可选功能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智能分析：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支持区域入侵、绊线检测、视频遮挡、客流量统计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远程操作：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系统管理、音视频管理、图像管理、报警管理、网络管理、存储管理、智能分析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检测报警：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支持邮件报警、客户端报警、手机app推送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外围扩展接口：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内置MIC、内置喇叭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语音对讲：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无线配网：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不支持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融视云3.1：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支持（通过公有云协议添加）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APP：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云视通APP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公有云：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国标28181：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SD卡：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不支持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4G（支持的运营商）：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不支持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GPS定位：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不支持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以太网：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10/100M以太网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码流：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双码流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网络协议：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标准HTTP,TCP/IP,ICMP,RTSP,RTP,UDP,RTCP,SMTP,DHCP,DNS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接入协议：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标配ONVIF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网络传输：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内置中维云视通2.0传输协议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浏览器：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支持IE8+,Chrome18+,Firefox5.0+,Safari5.02+浏览器、支持中文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同时预览视频数：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云视通2.0协议支持16个流，UDP支持2个流，RTSP支持8个流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用户权限：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最多20个用户，分3级权限：管理员（只支持一个）、普通用户和访客 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补光灯：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6颗红外灯+12颗暖光灯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补光灯距离（m）：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最远可达40米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防水级别：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IP67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电源：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DC12V/2A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工作温度：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 -20℃～+60℃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工作湿度：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 10%～90%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功率：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白天：＜3W     夜间：＜9W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颜色/材质：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前壳：黑色ADC12；后壳：白色PC；雨罩：白色PP+抗UV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尺寸(W×H×D)（mm）：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100*160*270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重量（g）：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610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安装方式：</w:t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color w:val="231815"/>
          <w:sz w:val="28"/>
          <w:szCs w:val="28"/>
        </w:rPr>
        <w:t>壁装、吊装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220E2D40"/>
    <w:rsid w:val="26CF6DEC"/>
    <w:rsid w:val="28CD34FC"/>
    <w:rsid w:val="2F2C5A6E"/>
    <w:rsid w:val="59834C3C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1201</Characters>
  <Lines>0</Lines>
  <Paragraphs>0</Paragraphs>
  <TotalTime>8</TotalTime>
  <ScaleCrop>false</ScaleCrop>
  <LinksUpToDate>false</LinksUpToDate>
  <CharactersWithSpaces>1234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2022-11-15T07:58:46Z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